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61.png" ContentType="image/png"/>
  <Override PartName="/word/media/rId54.png" ContentType="image/png"/>
  <Override PartName="/word/media/rId58.png" ContentType="image/png"/>
  <Override PartName="/word/media/rId49.png" ContentType="image/png"/>
  <Override PartName="/word/media/rId165.png" ContentType="image/png"/>
  <Override PartName="/word/media/rId63.png" ContentType="image/png"/>
  <Override PartName="/word/media/rId156.png" ContentType="image/png"/>
  <Override PartName="/word/media/rId170.png" ContentType="image/png"/>
  <Override PartName="/word/media/rId180.png" ContentType="image/png"/>
  <Override PartName="/word/media/rId17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yet most work has focused on plastic changes in mean phenotypic responses to climate warming ignore how temperature may change phenotypic variability. Here, using a large database of physiological rate data from marine, freshwater and terrestrial ectotherms we quantify the capacity for temperature acclimation and the extent to which relative variance (changes in variance after accounting for changes in the mean) in physiological rates changes in response to increasing temperatures. Using new effect size estimates and meta-analysis we show that acclimation of physiological rates and changes in their relative variance do not depend on past temperature variability and predictability experienced by a population at its geographical location; neither do these responses differ between life stages. Across habitats relative variance in physiological rates decreased at higher temperatures. Freshwater ectotherms are capable of acclimating which is likely to be beneficial considering that reductions in relative variance in physiological rates at high temperatures is lower for freshwater species. In contrast, acclimation responses of marine organisms coincide with a nearly equal reduction in relative variance in physiolgical rates, suggesting acclimation may not necssarily be beneficial. Relative variance reductions are particularly pronounced for terrestrial ectotherms and this coincides with a lack of capacity for acclimation, which highlights the vulnerability of terrestrial ectotherms to climate change. Our results emphasise how beneficial acclimation responses may be offset by reductions in physiological rate variance, challenging the notion that plasticity will be sufficient to counteract climate change effects on populations. Reductions in physiological rate variance at high temperatures may further have important ecological ramifications that impact population and ecosystem processes that cascade to affect population and community productivity.</w:t>
      </w:r>
    </w:p>
    <w:bookmarkEnd w:id="21"/>
    <w:bookmarkStart w:id="22" w:name="introduction"/>
    <w:p>
      <w:pPr>
        <w:pStyle w:val="Heading2"/>
      </w:pPr>
      <w:r>
        <w:rPr>
          <w:bCs/>
          <w:b/>
        </w:rPr>
        <w:t xml:space="preserve">Introduction</w:t>
      </w:r>
    </w:p>
    <w:p>
      <w:pPr>
        <w:pStyle w:val="FirstParagraph"/>
      </w:pPr>
      <w:r>
        <w:t xml:space="preserve">Climate change is expected to result in warmer but also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Evolutionary theory predicts that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Without plasticity or adaptation, high extinction rates are predicted unless organisms can migrate to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w:t>
      </w:r>
      <w:r>
        <w:t xml:space="preserve"> </w:t>
      </w:r>
      <w:r>
        <w:t xml:space="preserve">(i.e., the</w:t>
      </w:r>
      <w:r>
        <w:t xml:space="preserve"> </w:t>
      </w:r>
      <w:r>
        <w:t xml:space="preserve">‘</w:t>
      </w:r>
      <w:r>
        <w:t xml:space="preserve">plasticity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w:t>
      </w:r>
      <w:r>
        <w:t xml:space="preserve"> </w:t>
      </w:r>
      <w:r>
        <w:t xml:space="preserve">(assuming the costs of plasticity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Acclimation is driven by endocrine and epigenetic processes that change the underlying physiology to faciliate a rapid response to the environment</w:t>
      </w:r>
      <w:r>
        <w:t xml:space="preserve"> </w:t>
      </w:r>
      <w:r>
        <w:t xml:space="preserve">(Little</w:t>
      </w:r>
      <w:r>
        <w:t xml:space="preserve"> </w:t>
      </w:r>
      <w:r>
        <w:rPr>
          <w:iCs/>
          <w:i/>
        </w:rPr>
        <w:t xml:space="preserve">et al.</w:t>
      </w:r>
      <w:r>
        <w:t xml:space="preserve"> </w:t>
      </w:r>
      <w:r>
        <w:t xml:space="preserve">2013; Taff &amp; Vitousek 2016; Seebacher &amp; Simmonds 2019)</w:t>
      </w:r>
      <w:r>
        <w:t xml:space="preserve">. However, the focus up to now has been primarily on mean physiological responses. For example,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variance in a population may also indicate greater niche breadth which can buffer populations against environmental change</w:t>
      </w:r>
      <w:r>
        <w:t xml:space="preserve"> </w:t>
      </w:r>
      <w:r>
        <w:t xml:space="preserve">(Schindler</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also suggests strong stabilising selection or reflect constraints on performance</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Changes in physiological trait variation may also have important ecological consequences by promoting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of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w:t>
      </w:r>
      <w:r>
        <w:t xml:space="preserve">, whereas greater proximity to upper thermal limits in marine systems have questioned such conclusions</w:t>
      </w:r>
      <w:r>
        <w:t xml:space="preserve"> </w:t>
      </w:r>
      <w:r>
        <w:t xml:space="preserve">(Pinsky</w:t>
      </w:r>
      <w:r>
        <w:t xml:space="preserve"> </w:t>
      </w:r>
      <w:r>
        <w:rPr>
          <w:iCs/>
          <w:i/>
        </w:rPr>
        <w:t xml:space="preserve">et al.</w:t>
      </w:r>
      <w:r>
        <w:t xml:space="preserve"> </w:t>
      </w:r>
      <w:r>
        <w:t xml:space="preserve">2019)</w:t>
      </w:r>
      <w:r>
        <w:t xml:space="preserve">. Marine and freshwater ecosystems appear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(0.01</w:t>
      </w:r>
      <m:oMath>
        <m:sSup>
          <m:e>
            <m:r>
              <m:t>​</m:t>
            </m:r>
          </m:e>
          <m:sup>
            <m:r>
              <m:rPr>
                <m:sty m:val="p"/>
              </m:rPr>
              <m:t>∘</m:t>
            </m:r>
          </m:sup>
        </m:sSup>
      </m:oMath>
      <w:r>
        <w:t xml:space="preserve"> </w:t>
      </w:r>
      <w:r>
        <w:t xml:space="preserve">resolution) for both terrestrial and freshwater taxa, or sea surface temperature for the marine taxa (at 0.25</w:t>
      </w:r>
      <m:oMath>
        <m:sSup>
          <m:e>
            <m:r>
              <m:t>​</m:t>
            </m:r>
          </m:e>
          <m:sup>
            <m:r>
              <m:rPr>
                <m:sty m:val="p"/>
              </m:rPr>
              <m:t>∘</m:t>
            </m:r>
          </m:sup>
        </m:sSup>
      </m:oMath>
      <w:r>
        <w:t xml:space="preserve"> </w:t>
      </w:r>
      <w:r>
        <w:t xml:space="preserve">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 Moghadam</w:t>
      </w:r>
      <w:r>
        <w:t xml:space="preserve"> </w:t>
      </w:r>
      <w:r>
        <w:rPr>
          <w:iCs/>
          <w:i/>
        </w:rPr>
        <w:t xml:space="preserve">et al.</w:t>
      </w:r>
      <w:r>
        <w:t xml:space="preserve"> </w:t>
      </w:r>
      <w:r>
        <w:t xml:space="preserve">2019)</w:t>
      </w:r>
      <w:r>
        <w:t xml:space="preserve">,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42"/>
    <w:bookmarkEnd w:id="43"/>
    <w:bookmarkStart w:id="68"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48"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repsonses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given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5053911"/>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Silhouettes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bookmarkEnd w:id="48"/>
    <w:bookmarkStart w:id="53"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physiologcial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much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prominant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52" w:name="fig-cvrlh"/>
          <w:p>
            <w:pPr>
              <w:pStyle w:val="Figure"/>
              <w:jc w:val="center"/>
            </w:pPr>
            <w:r>
              <w:drawing>
                <wp:inline>
                  <wp:extent cx="6680200" cy="4219073"/>
                  <wp:effectExtent b="0" l="0" r="0" t="0"/>
                  <wp:docPr descr="" title="" id="50" name="Picture"/>
                  <a:graphic>
                    <a:graphicData uri="http://schemas.openxmlformats.org/drawingml/2006/picture">
                      <pic:pic>
                        <pic:nvPicPr>
                          <pic:cNvPr descr="ms_files/figure-docx/fig-cvrlh-1.png" id="51" name="Picture"/>
                          <pic:cNvPicPr>
                            <a:picLocks noChangeArrowheads="1" noChangeAspect="1"/>
                          </pic:cNvPicPr>
                        </pic:nvPicPr>
                        <pic:blipFill>
                          <a:blip r:embed="rId49"/>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juevenile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jeunvile life-history stages also presented but point are not separated by type for ease of presentation.</w:t>
            </w:r>
          </w:p>
          <w:bookmarkEnd w:id="52"/>
        </w:tc>
      </w:tr>
    </w:tbl>
    <w:bookmarkEnd w:id="53"/>
    <w:bookmarkStart w:id="62"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7" w:name="fig-4"/>
          <w:p>
            <w:pPr>
              <w:pStyle w:val="Figure"/>
              <w:jc w:val="center"/>
            </w:pPr>
            <w:r>
              <w:drawing>
                <wp:inline>
                  <wp:extent cx="6680200" cy="7087529"/>
                  <wp:effectExtent b="0" l="0" r="0" t="0"/>
                  <wp:docPr descr="" title="" id="55" name="Picture"/>
                  <a:graphic>
                    <a:graphicData uri="http://schemas.openxmlformats.org/drawingml/2006/picture">
                      <pic:pic>
                        <pic:nvPicPr>
                          <pic:cNvPr descr="ms_files/figure-docx/fig-4-1.png" id="56" name="Picture"/>
                          <pic:cNvPicPr>
                            <a:picLocks noChangeArrowheads="1" noChangeAspect="1"/>
                          </pic:cNvPicPr>
                        </pic:nvPicPr>
                        <pic:blipFill>
                          <a:blip r:embed="rId54"/>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5"/>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5-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61"/>
        </w:tc>
      </w:tr>
    </w:tbl>
    <w:bookmarkEnd w:id="62"/>
    <w:bookmarkStart w:id="67"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variance was predicted to decrease in 94.68%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0.45% change in variance for freshwater systems (95% CI: -8.46 to 8.6%,</w:t>
      </w:r>
      <w:r>
        <w:t xml:space="preserve"> </w:t>
      </w:r>
      <m:oMath>
        <m:sSub>
          <m:e>
            <m:r>
              <m:t>p</m:t>
            </m:r>
          </m:e>
          <m:sub>
            <m:r>
              <m:t>M</m:t>
            </m:r>
            <m:r>
              <m:t>C</m:t>
            </m:r>
            <m:r>
              <m:t>M</m:t>
            </m:r>
            <m:r>
              <m:t>C</m:t>
            </m:r>
          </m:sub>
        </m:sSub>
      </m:oMath>
      <w:r>
        <w:t xml:space="preserve"> </w:t>
      </w:r>
      <w:r>
        <w:t xml:space="preserve">= 0.93), whereas we expect a 3.63% reduction in variance for marine systems (95% CI: -7.74 to 2.53%,</w:t>
      </w:r>
      <w:r>
        <w:t xml:space="preserve"> </w:t>
      </w:r>
      <m:oMath>
        <m:sSub>
          <m:e>
            <m:r>
              <m:t>p</m:t>
            </m:r>
          </m:e>
          <m:sub>
            <m:r>
              <m:t>M</m:t>
            </m:r>
            <m:r>
              <m:t>C</m:t>
            </m:r>
            <m:r>
              <m:t>M</m:t>
            </m:r>
            <m:r>
              <m:t>C</m:t>
            </m:r>
          </m:sub>
        </m:sSub>
      </m:oMath>
      <w:r>
        <w:t xml:space="preserve"> </w:t>
      </w:r>
      <w:r>
        <w:t xml:space="preserve">= 0.34) and a 13.15% reduction in variance for terrestrial systems (95% CI: -21.39 to -6.64%,</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66" w:name="fig-fig6"/>
          <w:p>
            <w:pPr>
              <w:pStyle w:val="Figure"/>
              <w:jc w:val="center"/>
            </w:pPr>
            <w:r>
              <w:drawing>
                <wp:inline>
                  <wp:extent cx="6680200" cy="8650002"/>
                  <wp:effectExtent b="0" l="0" r="0" t="0"/>
                  <wp:docPr descr="" title="" id="64" name="Picture"/>
                  <a:graphic>
                    <a:graphicData uri="http://schemas.openxmlformats.org/drawingml/2006/picture">
                      <pic:pic>
                        <pic:nvPicPr>
                          <pic:cNvPr descr="ms_files/figure-docx/fig-fig6-1.png" id="65" name="Picture"/>
                          <pic:cNvPicPr>
                            <a:picLocks noChangeArrowheads="1" noChangeAspect="1"/>
                          </pic:cNvPicPr>
                        </pic:nvPicPr>
                        <pic:blipFill>
                          <a:blip r:embed="rId63"/>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66"/>
        </w:tc>
      </w:tr>
    </w:tbl>
    <w:bookmarkEnd w:id="67"/>
    <w:bookmarkEnd w:id="68"/>
    <w:bookmarkStart w:id="75"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is expected to decrease for ectotherms as temperatures increase, and this decrease is particularly pronouced in terrestrial ectotherms (~28%). Decreases in the relative variance of physiological rates are equal to or larger than the expected benefits from acclimation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in marine and terrestrial ectotherms (</w:t>
      </w:r>
      <w:r>
        <w:rPr>
          <w:iCs/>
          <w:i/>
        </w:rPr>
        <w:t xml:space="preserve">marine</w:t>
      </w:r>
      <w:r>
        <w:t xml:space="preserve">: 16% acclimation vs. 15% reduction in relative variance;</w:t>
      </w:r>
      <w:r>
        <w:t xml:space="preserve"> </w:t>
      </w:r>
      <w:r>
        <w:rPr>
          <w:iCs/>
          <w:i/>
        </w:rPr>
        <w:t xml:space="preserve">terrestrial</w:t>
      </w:r>
      <w:r>
        <w:t xml:space="preserve">: no acclimation vs 28% reduction in relative variance;</w:t>
      </w:r>
      <w:r>
        <w:t xml:space="preserve"> </w:t>
      </w:r>
      <w:hyperlink w:anchor="fig-1">
        <w:r>
          <w:rPr>
            <w:rStyle w:val="Hyperlink"/>
          </w:rPr>
          <w:t xml:space="preserve">Figure 1</w:t>
        </w:r>
      </w:hyperlink>
      <w:r>
        <w:t xml:space="preserve">). Such effects are expected to result in a decrease in the variability in physiological rates for marine and terrestrial ectotherms between ~4-13% under future climate change projections. Our results provide insight into the multifaceted ways in which climate warming will impact ectotherm populations, with important ecological and evolutionary implications that require further empirical and theoretical attention. We discuss our findings in the context of the current literature and highlight key areas for future research.</w:t>
      </w:r>
    </w:p>
    <w:bookmarkStart w:id="69" w:name="X2cc56c2f2d0726eb523eacba0d3c319d8390d0d"/>
    <w:p>
      <w:pPr>
        <w:pStyle w:val="Heading3"/>
      </w:pPr>
      <w:r>
        <w:rPr>
          <w:iCs/>
          <w:i/>
          <w:bCs/>
          <w:b/>
        </w:rPr>
        <w:t xml:space="preserve">Potential evolutionary consequences of reduced plasticity and variance in physiologcial rates across ectotherms</w:t>
      </w:r>
    </w:p>
    <w:p>
      <w:pPr>
        <w:pStyle w:val="FirstParagraph"/>
      </w:pPr>
      <w:r>
        <w:t xml:space="preserve">Understanding the interplay between plasticity and genetic adaptation has important implications for predicting a populations resilience to climate change</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plasticity can allow populations to persist in the face of climate extremes by matching phenotypes to fitness optima, although this is not always the case</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and costs to plasticity that constrain its expression</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We show that plastic adjustments in physiological rates and changes in their relative variance differs across habitats. In freshwater habitats, acclimation responses will likely be beneficial considering that these effects are larger than reductions in relative variance in physiological rates. In contrast, acclimation responses of marine organisms coincide with a nearly equal reduction in relative variance in physiolgical rates, suggesting acclimation may not be as beneficial. Relative variance reductions are particularly pronounced in terrestrial ectotherms and this coincides with a general inability to acclimate.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to provide adaptive benefits under climate change. Together, these findings highlight the vulnerability of terrestrial ectotherms to climate change. It may be expected that reductions in variance of this magnitude impact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bookmarkEnd w:id="69"/>
    <w:bookmarkStart w:id="70" w:name="X04494a1530a95e29936236965e391d3273e0991"/>
    <w:p>
      <w:pPr>
        <w:pStyle w:val="Heading3"/>
      </w:pPr>
      <w:r>
        <w:rPr>
          <w:iCs/>
          <w:i/>
          <w:bCs/>
          <w:b/>
        </w:rPr>
        <w:t xml:space="preserve">Plasticity and variance in physiological rates do not differ between life-stages</w:t>
      </w:r>
    </w:p>
    <w:p>
      <w:pPr>
        <w:pStyle w:val="FirstParagraph"/>
      </w:pPr>
      <w:r>
        <w:t xml:space="preserve">Interestingly, there were no major differences in acclimation or reductions in physiological variance between life-stages across habitat types. Greater plasticity for early life-stages of development is expected to be important to increase resilience to the effects of climate change because early life-stages are often particularly vulnerable periods in development</w:t>
      </w:r>
      <w:r>
        <w:t xml:space="preserve"> </w:t>
      </w:r>
      <w:r>
        <w:t xml:space="preserve">(Stearns 1976; Martin 2015)</w:t>
      </w:r>
      <w:r>
        <w:t xml:space="preserve">. However, our results highlight that early life stages are not likely to be protected from the impacts of climate change. Evidence across the literature is equivocal with respect to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In future research, there needs to be more studies that explicitly compare differences in plasticity among life stages across multiple traits within the same populations. A better understanding of the microthermal environments experienced by different life-stages will also be important in understanding why plasticity may or may not differ among life-stages.</w:t>
      </w:r>
    </w:p>
    <w:bookmarkEnd w:id="70"/>
    <w:bookmarkStart w:id="71"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heterogeneity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to evolve in terrestrial environments. However, we did not find evidence to this effect. This finding is consistent with other meta-analyses</w:t>
      </w:r>
      <w:r>
        <w:t xml:space="preserve"> </w:t>
      </w:r>
      <w:r>
        <w:t xml:space="preserve">(Gunderson &amp; Stillman 2015; e.g., Barley</w:t>
      </w:r>
      <w:r>
        <w:t xml:space="preserve"> </w:t>
      </w:r>
      <w:r>
        <w:rPr>
          <w:iCs/>
          <w:i/>
        </w:rPr>
        <w:t xml:space="preserve">et al.</w:t>
      </w:r>
      <w:r>
        <w:t xml:space="preserve"> </w:t>
      </w:r>
      <w:r>
        <w:t xml:space="preserve">2021)</w:t>
      </w:r>
      <w:r>
        <w:t xml:space="preserve"> </w:t>
      </w:r>
      <w:r>
        <w:t xml:space="preserve">with thermal tolerance. The lack of relationship between physiological plasticity and environmental variability and predictability could be due to the challenges in estimating realistic microthermal environments given that air temperatures may not represent thermal enviroments many taxa actually experience in nature. Alternatively, lower predictability of thermal environments over time may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fluctuating thermal conditions did not show any increase in plasticity, but had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t xml:space="preserve"> </w:t>
      </w:r>
      <w:r>
        <w:t xml:space="preserve">(see also Leung</w:t>
      </w:r>
      <w:r>
        <w:t xml:space="preserve"> </w:t>
      </w:r>
      <w:r>
        <w:rPr>
          <w:iCs/>
          <w:i/>
        </w:rPr>
        <w:t xml:space="preserve">et al.</w:t>
      </w:r>
      <w:r>
        <w:t xml:space="preserve"> </w:t>
      </w:r>
      <w:r>
        <w:t xml:space="preserve">2023)</w:t>
      </w:r>
      <w:r>
        <w:t xml:space="preserve">. These findings, in combination with our results, suggests that there are costs to being plastic or that the environmental signals are insufficient to trigger endocrine and epigenetic mechanisms that lead to plasticty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w:t>
      </w:r>
    </w:p>
    <w:bookmarkEnd w:id="71"/>
    <w:bookmarkStart w:id="72"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key traits most strongly impacted by increased temperature.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ectotherms will likely face greater challenges to adapting to climate change</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leading to greater rates of extinction and reduced productivity. However, data testing the impacts of changes in variance on populations are limited to very few taxa. We need creative experimentation across broader taxa that manipulate levels of variance to understand their ecological outcomes. Our meta-analytic findings can be integrated into theoretical models by permitting model paramaters to capture biologically relevant variation. Such predictive models can then be integrated with experimental approaches to better understand the consequences of changes in variation on ecological dynamics.</w:t>
      </w:r>
    </w:p>
    <w:bookmarkEnd w:id="72"/>
    <w:bookmarkStart w:id="73" w:name="limitations"/>
    <w:p>
      <w:pPr>
        <w:pStyle w:val="Heading3"/>
      </w:pPr>
      <w:r>
        <w:rPr>
          <w:iCs/>
          <w:i/>
          <w:bCs/>
          <w:b/>
        </w:rPr>
        <w:t xml:space="preserve">Limitations</w:t>
      </w:r>
    </w:p>
    <w:p>
      <w:pPr>
        <w:pStyle w:val="FirstParagraph"/>
      </w:pPr>
      <w:r>
        <w:t xml:space="preserve">A number of limitations need to be recognised to better contextualise our results. First, and as mentioned above, the evolutionary implications of changes in relative variances in physiological rates is still unclear because we lack a full understanding of how much variation is genetic versus environmental, or how traits are related to fitness. Second, while we found no relationships between historical climate variability / predictability and capacity for plasticity this does not necessarily mean they are not important. There are major challenges to estimating realistic microthermal environments experienced by taxa; it is possible that more fine-scale resolution of the habitats that organisms occupy will elucidate expected patterns. Third,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As such, finer scale analyses that look at acclimation responses</w:t>
      </w:r>
      <w:r>
        <w:t xml:space="preserve"> </w:t>
      </w:r>
      <w:r>
        <w:rPr>
          <w:iCs/>
          <w:i/>
        </w:rPr>
        <w:t xml:space="preserve">and</w:t>
      </w:r>
      <w:r>
        <w:t xml:space="preserve"> </w:t>
      </w:r>
      <w:r>
        <w:t xml:space="preserve">changes in relative variance will be beneficial for developing a better understanding of their interplay when considering how populations will be impacted by climate change.</w:t>
      </w:r>
    </w:p>
    <w:bookmarkEnd w:id="73"/>
    <w:bookmarkStart w:id="74"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w:t>
      </w:r>
      <w:r>
        <w:t xml:space="preserve"> </w:t>
      </w:r>
      <w:r>
        <w:t xml:space="preserve">(Forsman 2015)</w:t>
      </w:r>
      <w:r>
        <w:t xml:space="preserve">.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74"/>
    <w:bookmarkEnd w:id="75"/>
    <w:bookmarkStart w:id="155" w:name="references"/>
    <w:p>
      <w:pPr>
        <w:pStyle w:val="Heading2"/>
      </w:pPr>
      <w:r>
        <w:t xml:space="preserve">References</w:t>
      </w:r>
    </w:p>
    <w:p>
      <w:pPr>
        <w:pStyle w:val="FirstParagraph"/>
      </w:pPr>
    </w:p>
    <w:bookmarkStart w:id="154" w:name="refs"/>
    <w:bookmarkStart w:id="76"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76"/>
    <w:bookmarkStart w:id="77" w:name="ref-barley2021limited"/>
    <w:p>
      <w:pPr>
        <w:pStyle w:val="Bibliography"/>
      </w:pPr>
      <w:r>
        <w:t xml:space="preserve">Barley, J.M., Cheng, B.S., Sasaki, M., Gignoux-Wolfsohn, S., Hays, C.G., Putnam, A.B.,</w:t>
      </w:r>
      <w:r>
        <w:t xml:space="preserve"> </w:t>
      </w:r>
      <w:r>
        <w:rPr>
          <w:iCs/>
          <w:i/>
        </w:rPr>
        <w:t xml:space="preserve">et al.</w:t>
      </w:r>
      <w:r>
        <w:t xml:space="preserve"> (2021). Limited plasticity in thermally tolerant ectotherm populations: Evidence for a trade-off.</w:t>
      </w:r>
      <w:r>
        <w:t xml:space="preserve"> </w:t>
      </w:r>
      <w:r>
        <w:rPr>
          <w:iCs/>
          <w:i/>
        </w:rPr>
        <w:t xml:space="preserve">Proceedings of the Royal Society B</w:t>
      </w:r>
      <w:r>
        <w:t xml:space="preserve">, 288, 20210765.</w:t>
      </w:r>
    </w:p>
    <w:bookmarkEnd w:id="77"/>
    <w:bookmarkStart w:id="78"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78"/>
    <w:bookmarkStart w:id="7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9"/>
    <w:bookmarkStart w:id="8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80"/>
    <w:bookmarkStart w:id="8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1"/>
    <w:bookmarkStart w:id="82"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2"/>
    <w:bookmarkStart w:id="83"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83"/>
    <w:bookmarkStart w:id="8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4"/>
    <w:bookmarkStart w:id="8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85"/>
    <w:bookmarkStart w:id="8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6"/>
    <w:bookmarkStart w:id="8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87"/>
    <w:bookmarkStart w:id="8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8"/>
    <w:bookmarkStart w:id="8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9"/>
    <w:bookmarkStart w:id="9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90"/>
    <w:bookmarkStart w:id="9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1"/>
    <w:bookmarkStart w:id="9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2"/>
    <w:bookmarkStart w:id="9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93"/>
    <w:bookmarkStart w:id="94"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94"/>
    <w:bookmarkStart w:id="95"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95"/>
    <w:bookmarkStart w:id="96"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96"/>
    <w:bookmarkStart w:id="97"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7"/>
    <w:bookmarkStart w:id="98"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98"/>
    <w:bookmarkStart w:id="99"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99"/>
    <w:bookmarkStart w:id="100"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0"/>
    <w:bookmarkStart w:id="101"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01"/>
    <w:bookmarkStart w:id="102"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2"/>
    <w:bookmarkStart w:id="103"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3"/>
    <w:bookmarkStart w:id="104"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04"/>
    <w:bookmarkStart w:id="105"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05"/>
    <w:bookmarkStart w:id="106"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06"/>
    <w:bookmarkStart w:id="107"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07"/>
    <w:bookmarkStart w:id="108" w:name="ref-little2013thyroid"/>
    <w:p>
      <w:pPr>
        <w:pStyle w:val="Bibliography"/>
      </w:pPr>
      <w:r>
        <w:t xml:space="preserve">Little, A.G., Kunisue, T., Kannan, K. &amp; Seebacher, F. (2013). Thyroid hormone actions are temperature-specific and regulate thermal acclimation in zebrafish (danio rerio).</w:t>
      </w:r>
      <w:r>
        <w:t xml:space="preserve"> </w:t>
      </w:r>
      <w:r>
        <w:rPr>
          <w:iCs/>
          <w:i/>
        </w:rPr>
        <w:t xml:space="preserve">Bmc Biology</w:t>
      </w:r>
      <w:r>
        <w:t xml:space="preserve">, 11, 1–15.</w:t>
      </w:r>
    </w:p>
    <w:bookmarkEnd w:id="108"/>
    <w:bookmarkStart w:id="109"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09"/>
    <w:bookmarkStart w:id="110"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0"/>
    <w:bookmarkStart w:id="111"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11"/>
    <w:bookmarkStart w:id="112"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2"/>
    <w:bookmarkStart w:id="113"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13"/>
    <w:bookmarkStart w:id="114"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4"/>
    <w:bookmarkStart w:id="11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5"/>
    <w:bookmarkStart w:id="116"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16"/>
    <w:bookmarkStart w:id="117"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7"/>
    <w:bookmarkStart w:id="118"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8"/>
    <w:bookmarkStart w:id="119"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9"/>
    <w:bookmarkStart w:id="120"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0"/>
    <w:bookmarkStart w:id="121"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21"/>
    <w:bookmarkStart w:id="122"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2"/>
    <w:bookmarkStart w:id="123"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23"/>
    <w:bookmarkStart w:id="124"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4"/>
    <w:bookmarkStart w:id="125"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5"/>
    <w:bookmarkStart w:id="126"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6"/>
    <w:bookmarkStart w:id="127"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7"/>
    <w:bookmarkStart w:id="128"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8"/>
    <w:bookmarkStart w:id="129"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9"/>
    <w:bookmarkStart w:id="130"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0"/>
    <w:bookmarkStart w:id="131"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1"/>
    <w:bookmarkStart w:id="132"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2"/>
    <w:bookmarkStart w:id="133"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3"/>
    <w:bookmarkStart w:id="134"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34"/>
    <w:bookmarkStart w:id="13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5"/>
    <w:bookmarkStart w:id="136"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6"/>
    <w:bookmarkStart w:id="137"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7"/>
    <w:bookmarkStart w:id="138" w:name="ref-seebacher2019histone"/>
    <w:p>
      <w:pPr>
        <w:pStyle w:val="Bibliography"/>
      </w:pPr>
      <w:r>
        <w:t xml:space="preserve">Seebacher, F. &amp; Simmonds, A.I. (2019). Histone deacetylase activity mediates thermal plasticity in zebrafish (danio rerio).</w:t>
      </w:r>
      <w:r>
        <w:t xml:space="preserve"> </w:t>
      </w:r>
      <w:r>
        <w:rPr>
          <w:iCs/>
          <w:i/>
        </w:rPr>
        <w:t xml:space="preserve">Scientific Reports</w:t>
      </w:r>
      <w:r>
        <w:t xml:space="preserve">, 9, 8216.</w:t>
      </w:r>
    </w:p>
    <w:bookmarkEnd w:id="138"/>
    <w:bookmarkStart w:id="139"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9"/>
    <w:bookmarkStart w:id="140"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0"/>
    <w:bookmarkStart w:id="14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1"/>
    <w:bookmarkStart w:id="14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2"/>
    <w:bookmarkStart w:id="143"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3"/>
    <w:bookmarkStart w:id="144"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4"/>
    <w:bookmarkStart w:id="145"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5"/>
    <w:bookmarkStart w:id="146" w:name="ref-taff2016endocrine"/>
    <w:p>
      <w:pPr>
        <w:pStyle w:val="Bibliography"/>
      </w:pPr>
      <w:r>
        <w:t xml:space="preserve">Taff, C.C. &amp; Vitousek, M.N. (2016). Endocrine flexibility: Optimizing phenotypes in a dynamic world?</w:t>
      </w:r>
      <w:r>
        <w:t xml:space="preserve"> </w:t>
      </w:r>
      <w:r>
        <w:rPr>
          <w:iCs/>
          <w:i/>
        </w:rPr>
        <w:t xml:space="preserve">Trends in ecology &amp; evolution</w:t>
      </w:r>
      <w:r>
        <w:t xml:space="preserve">, 31, 476–488.</w:t>
      </w:r>
    </w:p>
    <w:bookmarkEnd w:id="146"/>
    <w:bookmarkStart w:id="147"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7"/>
    <w:bookmarkStart w:id="148"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48"/>
    <w:bookmarkStart w:id="149"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9"/>
    <w:bookmarkStart w:id="15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0"/>
    <w:bookmarkStart w:id="151"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1"/>
    <w:bookmarkStart w:id="152"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2"/>
    <w:bookmarkStart w:id="153"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3"/>
    <w:bookmarkEnd w:id="154"/>
    <w:p>
      <w:pPr>
        <w:pStyle w:val="BodyText"/>
      </w:pPr>
    </w:p>
    <w:bookmarkEnd w:id="155"/>
    <w:bookmarkStart w:id="185" w:name="supplemental-results-and-figures"/>
    <w:p>
      <w:pPr>
        <w:pStyle w:val="Heading2"/>
      </w:pPr>
      <w:r>
        <w:t xml:space="preserve">Supplemental Results and Figures</w:t>
      </w:r>
    </w:p>
    <w:bookmarkStart w:id="160"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59" w:name="fig-prisma"/>
          <w:p>
            <w:pPr>
              <w:pStyle w:val="Figure"/>
              <w:jc w:val="center"/>
            </w:pPr>
            <w:r>
              <w:drawing>
                <wp:inline>
                  <wp:extent cx="6680200" cy="5111282"/>
                  <wp:effectExtent b="0" l="0" r="0" t="0"/>
                  <wp:docPr descr="" title="" id="157" name="Picture"/>
                  <a:graphic>
                    <a:graphicData uri="http://schemas.openxmlformats.org/drawingml/2006/picture">
                      <pic:pic>
                        <pic:nvPicPr>
                          <pic:cNvPr descr="ms_files/figure-docx/fig-prisma-1.png" id="158" name="Picture"/>
                          <pic:cNvPicPr>
                            <a:picLocks noChangeArrowheads="1" noChangeAspect="1"/>
                          </pic:cNvPicPr>
                        </pic:nvPicPr>
                        <pic:blipFill>
                          <a:blip r:embed="rId156"/>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59"/>
        </w:tc>
      </w:tr>
    </w:tbl>
    <w:bookmarkEnd w:id="160"/>
    <w:bookmarkStart w:id="169"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64" w:name="fig-2"/>
          <w:p>
            <w:pPr>
              <w:pStyle w:val="Figure"/>
              <w:jc w:val="center"/>
            </w:pPr>
            <w:r>
              <w:drawing>
                <wp:inline>
                  <wp:extent cx="6680200" cy="9352280"/>
                  <wp:effectExtent b="0" l="0" r="0" t="0"/>
                  <wp:docPr descr="" title="" id="162" name="Picture"/>
                  <a:graphic>
                    <a:graphicData uri="http://schemas.openxmlformats.org/drawingml/2006/picture">
                      <pic:pic>
                        <pic:nvPicPr>
                          <pic:cNvPr descr="ms_files/figure-docx/fig-2-1.png" id="163" name="Picture"/>
                          <pic:cNvPicPr>
                            <a:picLocks noChangeArrowheads="1" noChangeAspect="1"/>
                          </pic:cNvPicPr>
                        </pic:nvPicPr>
                        <pic:blipFill>
                          <a:blip r:embed="rId161"/>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68" w:name="fig-cvrtrait"/>
          <w:p>
            <w:pPr>
              <w:pStyle w:val="Figure"/>
              <w:jc w:val="center"/>
            </w:pPr>
            <w:r>
              <w:drawing>
                <wp:inline>
                  <wp:extent cx="6680200" cy="9352280"/>
                  <wp:effectExtent b="0" l="0" r="0" t="0"/>
                  <wp:docPr descr="" title="" id="166" name="Picture"/>
                  <a:graphic>
                    <a:graphicData uri="http://schemas.openxmlformats.org/drawingml/2006/picture">
                      <pic:pic>
                        <pic:nvPicPr>
                          <pic:cNvPr descr="ms_files/figure-docx/fig-cvrtrait-1.png" id="167" name="Picture"/>
                          <pic:cNvPicPr>
                            <a:picLocks noChangeArrowheads="1" noChangeAspect="1"/>
                          </pic:cNvPicPr>
                        </pic:nvPicPr>
                        <pic:blipFill>
                          <a:blip r:embed="rId165"/>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68"/>
        </w:tc>
      </w:tr>
    </w:tbl>
    <w:bookmarkEnd w:id="169"/>
    <w:bookmarkStart w:id="17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73" w:name="fig-s1"/>
          <w:p>
            <w:pPr>
              <w:pStyle w:val="Figure"/>
              <w:jc w:val="center"/>
            </w:pPr>
            <w:r>
              <w:drawing>
                <wp:inline>
                  <wp:extent cx="6680200" cy="4647095"/>
                  <wp:effectExtent b="0" l="0" r="0" t="0"/>
                  <wp:docPr descr="" title="" id="171" name="Picture"/>
                  <a:graphic>
                    <a:graphicData uri="http://schemas.openxmlformats.org/drawingml/2006/picture">
                      <pic:pic>
                        <pic:nvPicPr>
                          <pic:cNvPr descr="ms_files/figure-docx/fig-s1-1.png" id="172" name="Picture"/>
                          <pic:cNvPicPr>
                            <a:picLocks noChangeArrowheads="1" noChangeAspect="1"/>
                          </pic:cNvPicPr>
                        </pic:nvPicPr>
                        <pic:blipFill>
                          <a:blip r:embed="rId17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73"/>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5e996f0-be17-42b1-8443-c0caa7f58859"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5e996f0-be17-42b1-8443-c0caa7f58859"/>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74"/>
    <w:bookmarkStart w:id="17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78" w:name="fig-s3"/>
          <w:p>
            <w:pPr>
              <w:pStyle w:val="Figure"/>
              <w:jc w:val="center"/>
            </w:pPr>
            <w:r>
              <w:drawing>
                <wp:inline>
                  <wp:extent cx="6680200" cy="2379821"/>
                  <wp:effectExtent b="0" l="0" r="0" t="0"/>
                  <wp:docPr descr="" title="" id="176" name="Picture"/>
                  <a:graphic>
                    <a:graphicData uri="http://schemas.openxmlformats.org/drawingml/2006/picture">
                      <pic:pic>
                        <pic:nvPicPr>
                          <pic:cNvPr descr="ms_files/figure-docx/fig-s3-1.png" id="177" name="Picture"/>
                          <pic:cNvPicPr>
                            <a:picLocks noChangeArrowheads="1" noChangeAspect="1"/>
                          </pic:cNvPicPr>
                        </pic:nvPicPr>
                        <pic:blipFill>
                          <a:blip r:embed="rId17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78"/>
        </w:tc>
      </w:tr>
    </w:tbl>
    <w:bookmarkEnd w:id="179"/>
    <w:bookmarkStart w:id="184"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83" w:name="fig-s2"/>
          <w:p>
            <w:pPr>
              <w:pStyle w:val="Figure"/>
              <w:jc w:val="center"/>
            </w:pPr>
            <w:r>
              <w:drawing>
                <wp:inline>
                  <wp:extent cx="6680200" cy="2788257"/>
                  <wp:effectExtent b="0" l="0" r="0" t="0"/>
                  <wp:docPr descr="" title="" id="181" name="Picture"/>
                  <a:graphic>
                    <a:graphicData uri="http://schemas.openxmlformats.org/drawingml/2006/picture">
                      <pic:pic>
                        <pic:nvPicPr>
                          <pic:cNvPr descr="ms_files/figure-docx/fig-s2-1.png" id="182" name="Picture"/>
                          <pic:cNvPicPr>
                            <a:picLocks noChangeArrowheads="1" noChangeAspect="1"/>
                          </pic:cNvPicPr>
                        </pic:nvPicPr>
                        <pic:blipFill>
                          <a:blip r:embed="rId18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83"/>
        </w:tc>
      </w:tr>
    </w:tbl>
    <w:bookmarkEnd w:id="184"/>
    <w:bookmarkEnd w:id="185"/>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61" Target="media/rId16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165" Target="media/rId165.png" /><Relationship Type="http://schemas.openxmlformats.org/officeDocument/2006/relationships/image" Id="rId63" Target="media/rId63.png" /><Relationship Type="http://schemas.openxmlformats.org/officeDocument/2006/relationships/image" Id="rId156" Target="media/rId156.png" /><Relationship Type="http://schemas.openxmlformats.org/officeDocument/2006/relationships/image" Id="rId170" Target="media/rId170.png" /><Relationship Type="http://schemas.openxmlformats.org/officeDocument/2006/relationships/image" Id="rId180" Target="media/rId180.png" /><Relationship Type="http://schemas.openxmlformats.org/officeDocument/2006/relationships/image" Id="rId175" Target="media/rId17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2024-02-05T01:50:26Z</dcterms:created>
  <dcterms:modified xsi:type="dcterms:W3CDTF">2024-02-05T01:50:26Z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